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EF" w:rsidRDefault="00D74BEF" w:rsidP="00D74BEF">
      <w:pPr>
        <w:pStyle w:val="1"/>
        <w:numPr>
          <w:ilvl w:val="0"/>
          <w:numId w:val="0"/>
        </w:numPr>
        <w:tabs>
          <w:tab w:val="left" w:pos="1134"/>
        </w:tabs>
        <w:ind w:left="390"/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ЗАХОДИ, ПЕРЕДБАЧЕНІ ДЛЯ ЗДІЙСНЕННЯ МОНІТОРИНГУ НАСЛІДКІВ ВИКОНАННЯ ДОКУМЕНТА ДЕРЖАВНОГО ПЛАНУВАННЯ ДЛЯ ДОВКІЛЛЯ,                У ТОМУ ЧИСЛІ ДЛЯ ЗДОРОВ</w:t>
      </w:r>
      <w:r>
        <w:rPr>
          <w:rFonts w:ascii="Cambria" w:hAnsi="Cambria"/>
          <w:sz w:val="24"/>
          <w:szCs w:val="24"/>
        </w:rPr>
        <w:t>’</w:t>
      </w:r>
      <w:r>
        <w:rPr>
          <w:rFonts w:ascii="Cambria" w:hAnsi="Cambria"/>
          <w:sz w:val="24"/>
          <w:szCs w:val="24"/>
          <w:lang w:val="uk-UA"/>
        </w:rPr>
        <w:t>Я НАСЕЛЕННЯ</w:t>
      </w:r>
    </w:p>
    <w:p w:rsidR="00D74BEF" w:rsidRDefault="00D74BEF" w:rsidP="00D74BEF">
      <w:pPr>
        <w:pStyle w:val="1"/>
        <w:numPr>
          <w:ilvl w:val="0"/>
          <w:numId w:val="0"/>
        </w:numPr>
        <w:spacing w:after="0" w:line="276" w:lineRule="auto"/>
        <w:ind w:firstLine="709"/>
        <w:jc w:val="both"/>
        <w:rPr>
          <w:rFonts w:ascii="Cambria" w:hAnsi="Cambria"/>
          <w:b w:val="0"/>
          <w:sz w:val="23"/>
          <w:szCs w:val="23"/>
          <w:lang w:val="uk-UA"/>
        </w:rPr>
      </w:pPr>
      <w:r>
        <w:rPr>
          <w:rFonts w:ascii="Cambria" w:hAnsi="Cambria"/>
          <w:b w:val="0"/>
          <w:sz w:val="23"/>
          <w:szCs w:val="23"/>
          <w:lang w:val="uk-UA"/>
        </w:rPr>
        <w:t>Замовник у межах своєї компетенції здійснює моніторинг наслідків виконання документа державного планування для довкілля, у тому числі для здоров</w:t>
      </w:r>
      <w:r>
        <w:rPr>
          <w:rFonts w:ascii="Cambria" w:hAnsi="Cambria"/>
          <w:b w:val="0"/>
          <w:sz w:val="23"/>
          <w:szCs w:val="23"/>
        </w:rPr>
        <w:t>’</w:t>
      </w:r>
      <w:r>
        <w:rPr>
          <w:rFonts w:ascii="Cambria" w:hAnsi="Cambria"/>
          <w:b w:val="0"/>
          <w:sz w:val="23"/>
          <w:szCs w:val="23"/>
          <w:lang w:val="uk-UA"/>
        </w:rPr>
        <w:t>я населення, один раз на рік оприлюднює його результати на с</w:t>
      </w:r>
      <w:bookmarkStart w:id="0" w:name="_GoBack"/>
      <w:bookmarkEnd w:id="0"/>
      <w:r>
        <w:rPr>
          <w:rFonts w:ascii="Cambria" w:hAnsi="Cambria"/>
          <w:b w:val="0"/>
          <w:sz w:val="23"/>
          <w:szCs w:val="23"/>
          <w:lang w:val="uk-UA"/>
        </w:rPr>
        <w:t>воєму офіційному веб-сайті у мережі Інтернет та у разі виявлення не передбачених звітом про стратегічну екологічну оцінку негативних наслідків для довкілля, у тому числі для здоров</w:t>
      </w:r>
      <w:r>
        <w:rPr>
          <w:rFonts w:ascii="Cambria" w:hAnsi="Cambria"/>
          <w:b w:val="0"/>
          <w:sz w:val="23"/>
          <w:szCs w:val="23"/>
        </w:rPr>
        <w:t>’</w:t>
      </w:r>
      <w:r>
        <w:rPr>
          <w:rFonts w:ascii="Cambria" w:hAnsi="Cambria"/>
          <w:b w:val="0"/>
          <w:sz w:val="23"/>
          <w:szCs w:val="23"/>
          <w:lang w:val="uk-UA"/>
        </w:rPr>
        <w:t>я населення, вживає заходів для їх усунення відповідно до ст. 17 ЗУ «Про стратегічну екологічну оцінку».</w:t>
      </w:r>
    </w:p>
    <w:p w:rsidR="00D74BEF" w:rsidRDefault="00D74BEF" w:rsidP="00D74BEF">
      <w:pPr>
        <w:pStyle w:val="1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Cambria" w:hAnsi="Cambria"/>
          <w:b w:val="0"/>
          <w:sz w:val="23"/>
          <w:szCs w:val="23"/>
          <w:lang w:val="uk-UA"/>
        </w:rPr>
      </w:pPr>
      <w:r>
        <w:rPr>
          <w:rFonts w:ascii="Cambria" w:hAnsi="Cambria"/>
          <w:b w:val="0"/>
          <w:sz w:val="23"/>
          <w:szCs w:val="23"/>
          <w:lang w:val="uk-UA"/>
        </w:rPr>
        <w:t>Оцінка фактичного впливу здійснюється на підставі та з урахуванням результатів моніторингу стану навколишнього природного середовища щодо реалізації пропозицій Генерального плану у тому числі щодо господарської діяльності.</w:t>
      </w:r>
    </w:p>
    <w:p w:rsidR="00D74BEF" w:rsidRDefault="00D74BEF" w:rsidP="00D74BEF">
      <w:pPr>
        <w:pStyle w:val="1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Cambria" w:hAnsi="Cambria"/>
          <w:b w:val="0"/>
          <w:sz w:val="23"/>
          <w:szCs w:val="23"/>
          <w:lang w:val="uk-UA"/>
        </w:rPr>
      </w:pPr>
      <w:r>
        <w:rPr>
          <w:rFonts w:ascii="Cambria" w:hAnsi="Cambria"/>
          <w:b w:val="0"/>
          <w:sz w:val="23"/>
          <w:szCs w:val="23"/>
          <w:lang w:val="uk-UA"/>
        </w:rPr>
        <w:t>Моніторинг впливу на довкілля є обов’язковою умовою при здійсненні планованої діяльності.</w:t>
      </w:r>
    </w:p>
    <w:p w:rsidR="00D74BEF" w:rsidRDefault="00D74BEF" w:rsidP="00D74BEF">
      <w:pPr>
        <w:jc w:val="center"/>
        <w:rPr>
          <w:rFonts w:ascii="Cambria" w:eastAsia="Times New Roman" w:hAnsi="Cambria"/>
          <w:b/>
          <w:sz w:val="23"/>
          <w:szCs w:val="23"/>
          <w:u w:val="single"/>
          <w:lang w:val="uk-UA" w:eastAsia="ru-RU"/>
        </w:rPr>
      </w:pPr>
      <w:r>
        <w:rPr>
          <w:rFonts w:ascii="Cambria" w:eastAsia="Times New Roman" w:hAnsi="Cambria"/>
          <w:b/>
          <w:sz w:val="23"/>
          <w:szCs w:val="23"/>
          <w:u w:val="single"/>
          <w:lang w:val="uk-UA" w:eastAsia="ru-RU"/>
        </w:rPr>
        <w:t>Для органу місцевого самоврядування:</w:t>
      </w:r>
    </w:p>
    <w:p w:rsidR="00D74BEF" w:rsidRDefault="00D74BEF" w:rsidP="00D74BEF">
      <w:pPr>
        <w:ind w:firstLine="709"/>
        <w:jc w:val="both"/>
        <w:rPr>
          <w:rFonts w:ascii="Cambria" w:eastAsia="Times New Roman" w:hAnsi="Cambria"/>
          <w:sz w:val="23"/>
          <w:szCs w:val="23"/>
          <w:lang w:val="uk-UA" w:eastAsia="ru-RU"/>
        </w:rPr>
      </w:pPr>
      <w:r>
        <w:rPr>
          <w:rFonts w:ascii="Cambria" w:eastAsia="Times New Roman" w:hAnsi="Cambria"/>
          <w:sz w:val="23"/>
          <w:szCs w:val="23"/>
          <w:lang w:val="uk-UA" w:eastAsia="ru-RU"/>
        </w:rPr>
        <w:t>Проведення моніторингу (система постійного спостереження) виконання пропозицій документу державного планування включатиме накопичення інформації:</w:t>
      </w:r>
    </w:p>
    <w:p w:rsidR="00D74BEF" w:rsidRDefault="00D74BEF" w:rsidP="00D74BEF">
      <w:pPr>
        <w:numPr>
          <w:ilvl w:val="0"/>
          <w:numId w:val="2"/>
        </w:numPr>
        <w:ind w:left="0" w:firstLine="540"/>
        <w:jc w:val="both"/>
        <w:rPr>
          <w:rFonts w:ascii="Cambria" w:eastAsia="Times New Roman" w:hAnsi="Cambria"/>
          <w:sz w:val="23"/>
          <w:szCs w:val="23"/>
          <w:lang w:val="uk-UA" w:eastAsia="ru-RU"/>
        </w:rPr>
      </w:pPr>
      <w:r>
        <w:rPr>
          <w:rFonts w:ascii="Cambria" w:eastAsia="Times New Roman" w:hAnsi="Cambria"/>
          <w:sz w:val="23"/>
          <w:szCs w:val="23"/>
          <w:lang w:val="uk-UA" w:eastAsia="ru-RU"/>
        </w:rPr>
        <w:t>щодо зміни показників чисельності населеного пункту;</w:t>
      </w:r>
    </w:p>
    <w:p w:rsidR="00D74BEF" w:rsidRDefault="00D74BEF" w:rsidP="00D74BEF">
      <w:pPr>
        <w:numPr>
          <w:ilvl w:val="0"/>
          <w:numId w:val="2"/>
        </w:numPr>
        <w:ind w:left="0" w:firstLine="540"/>
        <w:jc w:val="both"/>
        <w:rPr>
          <w:rFonts w:ascii="Cambria" w:eastAsia="Times New Roman" w:hAnsi="Cambria"/>
          <w:sz w:val="23"/>
          <w:szCs w:val="23"/>
          <w:lang w:val="uk-UA" w:eastAsia="ru-RU"/>
        </w:rPr>
      </w:pPr>
      <w:r>
        <w:rPr>
          <w:rFonts w:ascii="Cambria" w:eastAsia="Times New Roman" w:hAnsi="Cambria"/>
          <w:sz w:val="23"/>
          <w:szCs w:val="23"/>
          <w:lang w:val="uk-UA" w:eastAsia="ru-RU"/>
        </w:rPr>
        <w:t>щодо обсягів житлового будівництва при досягненні показників житлової забезпеченості;</w:t>
      </w:r>
    </w:p>
    <w:p w:rsidR="00D74BEF" w:rsidRDefault="00D74BEF" w:rsidP="00D74BEF">
      <w:pPr>
        <w:numPr>
          <w:ilvl w:val="0"/>
          <w:numId w:val="2"/>
        </w:numPr>
        <w:ind w:left="0" w:firstLine="540"/>
        <w:jc w:val="both"/>
        <w:rPr>
          <w:rFonts w:ascii="Cambria" w:eastAsia="Times New Roman" w:hAnsi="Cambria"/>
          <w:sz w:val="23"/>
          <w:szCs w:val="23"/>
          <w:lang w:val="uk-UA" w:eastAsia="ru-RU"/>
        </w:rPr>
      </w:pPr>
      <w:r>
        <w:rPr>
          <w:rFonts w:ascii="Cambria" w:eastAsia="Times New Roman" w:hAnsi="Cambria"/>
          <w:sz w:val="23"/>
          <w:szCs w:val="23"/>
          <w:lang w:val="uk-UA" w:eastAsia="ru-RU"/>
        </w:rPr>
        <w:t>щодо забудови територій громадського призначення та забезпеченості населення  закладами і установами громадського призначення;</w:t>
      </w:r>
    </w:p>
    <w:p w:rsidR="00D74BEF" w:rsidRDefault="00D74BEF" w:rsidP="00D74BEF">
      <w:pPr>
        <w:numPr>
          <w:ilvl w:val="0"/>
          <w:numId w:val="2"/>
        </w:numPr>
        <w:ind w:left="0" w:firstLine="540"/>
        <w:jc w:val="both"/>
        <w:rPr>
          <w:rFonts w:ascii="Cambria" w:eastAsia="Times New Roman" w:hAnsi="Cambria"/>
          <w:sz w:val="23"/>
          <w:szCs w:val="23"/>
          <w:lang w:val="uk-UA" w:eastAsia="ru-RU"/>
        </w:rPr>
      </w:pPr>
      <w:r>
        <w:rPr>
          <w:rFonts w:ascii="Cambria" w:eastAsia="Times New Roman" w:hAnsi="Cambria"/>
          <w:sz w:val="23"/>
          <w:szCs w:val="23"/>
          <w:lang w:val="uk-UA" w:eastAsia="ru-RU"/>
        </w:rPr>
        <w:t>щодо розвитку інженерної та транспортної інфраструктури із будівництвом централізованого водопостачання, централізованого каналізування, очисних споруд поверхневих стоків та господарсько-побутової каналізації, реконструкції дорожнього покриття при дотриманні параметрів поперечного профілю вулично-дорожньої мережі;</w:t>
      </w:r>
    </w:p>
    <w:p w:rsidR="00D74BEF" w:rsidRDefault="00D74BEF" w:rsidP="00D74BEF">
      <w:pPr>
        <w:numPr>
          <w:ilvl w:val="0"/>
          <w:numId w:val="2"/>
        </w:numPr>
        <w:ind w:left="0" w:firstLine="540"/>
        <w:jc w:val="both"/>
        <w:rPr>
          <w:rFonts w:ascii="Cambria" w:eastAsia="Times New Roman" w:hAnsi="Cambria"/>
          <w:sz w:val="23"/>
          <w:szCs w:val="23"/>
          <w:lang w:val="uk-UA" w:eastAsia="ru-RU"/>
        </w:rPr>
      </w:pPr>
      <w:r>
        <w:rPr>
          <w:rFonts w:ascii="Cambria" w:eastAsia="Times New Roman" w:hAnsi="Cambria"/>
          <w:sz w:val="23"/>
          <w:szCs w:val="23"/>
          <w:lang w:val="uk-UA" w:eastAsia="ru-RU"/>
        </w:rPr>
        <w:t>щодо забезпеченості населення територіями рекреаційного призначення із дотриманням нормативного показника озеленення населеного пункту;</w:t>
      </w:r>
    </w:p>
    <w:p w:rsidR="00D74BEF" w:rsidRDefault="00D74BEF" w:rsidP="00D74BEF">
      <w:pPr>
        <w:numPr>
          <w:ilvl w:val="0"/>
          <w:numId w:val="2"/>
        </w:numPr>
        <w:ind w:left="0" w:firstLine="540"/>
        <w:jc w:val="both"/>
        <w:rPr>
          <w:rFonts w:ascii="Cambria" w:eastAsia="Times New Roman" w:hAnsi="Cambria"/>
          <w:sz w:val="23"/>
          <w:szCs w:val="23"/>
          <w:lang w:val="uk-UA" w:eastAsia="ru-RU"/>
        </w:rPr>
      </w:pPr>
      <w:r>
        <w:rPr>
          <w:rFonts w:ascii="Cambria" w:eastAsia="Times New Roman" w:hAnsi="Cambria"/>
          <w:sz w:val="23"/>
          <w:szCs w:val="23"/>
          <w:lang w:val="uk-UA" w:eastAsia="ru-RU"/>
        </w:rPr>
        <w:t xml:space="preserve">щодо дотримання пропозицій документу державного планування по розвитку виробничих, виробничо-складських об’єктів, сільськогосподарських підприємств у тому числі щодо їх перепрофілювання; </w:t>
      </w:r>
    </w:p>
    <w:p w:rsidR="00D74BEF" w:rsidRDefault="00D74BEF" w:rsidP="00D74BEF">
      <w:pPr>
        <w:numPr>
          <w:ilvl w:val="0"/>
          <w:numId w:val="2"/>
        </w:numPr>
        <w:ind w:left="0" w:firstLine="540"/>
        <w:jc w:val="both"/>
        <w:rPr>
          <w:rFonts w:ascii="Cambria" w:eastAsia="Times New Roman" w:hAnsi="Cambria"/>
          <w:sz w:val="23"/>
          <w:szCs w:val="23"/>
          <w:lang w:val="uk-UA" w:eastAsia="ru-RU"/>
        </w:rPr>
      </w:pPr>
      <w:r>
        <w:rPr>
          <w:rFonts w:ascii="Cambria" w:eastAsia="Times New Roman" w:hAnsi="Cambria"/>
          <w:sz w:val="23"/>
          <w:szCs w:val="23"/>
          <w:lang w:val="uk-UA" w:eastAsia="ru-RU"/>
        </w:rPr>
        <w:t>щодо дотримання параметрів містобудівних обмежень при забудові території (ПЗС, СЗЗ, зон санітарної охорони об’єктів водозабору);</w:t>
      </w:r>
    </w:p>
    <w:p w:rsidR="00D74BEF" w:rsidRDefault="00D74BEF" w:rsidP="00D74BEF">
      <w:pPr>
        <w:numPr>
          <w:ilvl w:val="0"/>
          <w:numId w:val="2"/>
        </w:numPr>
        <w:ind w:left="0" w:firstLine="540"/>
        <w:jc w:val="both"/>
        <w:rPr>
          <w:rFonts w:ascii="Cambria" w:eastAsia="Times New Roman" w:hAnsi="Cambria"/>
          <w:sz w:val="23"/>
          <w:szCs w:val="23"/>
          <w:lang w:val="uk-UA" w:eastAsia="ru-RU"/>
        </w:rPr>
      </w:pPr>
      <w:r>
        <w:rPr>
          <w:rFonts w:ascii="Cambria" w:eastAsia="Times New Roman" w:hAnsi="Cambria"/>
          <w:sz w:val="23"/>
          <w:szCs w:val="23"/>
          <w:lang w:val="uk-UA" w:eastAsia="ru-RU"/>
        </w:rPr>
        <w:t>щодо стану здоров’я населення населеного пункту тощо, що дозволить виявити недоліки і порушення, які негативно впливають на комфортність проживання населення, обґрунтувати і визначити заходи по їх усуненню.</w:t>
      </w:r>
    </w:p>
    <w:p w:rsidR="00D74BEF" w:rsidRDefault="00D74BEF" w:rsidP="00D74BEF">
      <w:pPr>
        <w:ind w:firstLine="709"/>
        <w:jc w:val="both"/>
        <w:rPr>
          <w:rFonts w:ascii="Cambria" w:eastAsia="Times New Roman" w:hAnsi="Cambria"/>
          <w:sz w:val="23"/>
          <w:szCs w:val="23"/>
          <w:lang w:val="uk-UA" w:eastAsia="ru-RU"/>
        </w:rPr>
      </w:pPr>
      <w:r>
        <w:rPr>
          <w:rFonts w:ascii="Cambria" w:eastAsia="Times New Roman" w:hAnsi="Cambria"/>
          <w:sz w:val="23"/>
          <w:szCs w:val="23"/>
          <w:lang w:val="uk-UA" w:eastAsia="ru-RU"/>
        </w:rPr>
        <w:t>При моніторингу необхідно здійснювати контроль щодо виконання заходів реалізації пропозицій документу державного планування щодо:</w:t>
      </w:r>
    </w:p>
    <w:p w:rsidR="00D74BEF" w:rsidRDefault="00D74BEF" w:rsidP="00D74BEF">
      <w:pPr>
        <w:numPr>
          <w:ilvl w:val="0"/>
          <w:numId w:val="2"/>
        </w:numPr>
        <w:ind w:left="0" w:firstLine="540"/>
        <w:jc w:val="both"/>
        <w:rPr>
          <w:rFonts w:ascii="Cambria" w:eastAsia="Times New Roman" w:hAnsi="Cambria"/>
          <w:sz w:val="23"/>
          <w:szCs w:val="23"/>
          <w:lang w:val="uk-UA" w:eastAsia="ru-RU"/>
        </w:rPr>
      </w:pPr>
      <w:r>
        <w:rPr>
          <w:rFonts w:ascii="Cambria" w:eastAsia="Times New Roman" w:hAnsi="Cambria"/>
          <w:sz w:val="23"/>
          <w:szCs w:val="23"/>
          <w:lang w:val="uk-UA" w:eastAsia="ru-RU"/>
        </w:rPr>
        <w:t>охорони атмосферного повітря;</w:t>
      </w:r>
    </w:p>
    <w:p w:rsidR="00D74BEF" w:rsidRDefault="00D74BEF" w:rsidP="00D74BEF">
      <w:pPr>
        <w:numPr>
          <w:ilvl w:val="0"/>
          <w:numId w:val="2"/>
        </w:numPr>
        <w:ind w:left="0" w:firstLine="540"/>
        <w:jc w:val="both"/>
        <w:rPr>
          <w:rFonts w:ascii="Cambria" w:eastAsia="Times New Roman" w:hAnsi="Cambria"/>
          <w:sz w:val="23"/>
          <w:szCs w:val="23"/>
          <w:lang w:val="uk-UA" w:eastAsia="ru-RU"/>
        </w:rPr>
      </w:pPr>
      <w:r>
        <w:rPr>
          <w:rFonts w:ascii="Cambria" w:eastAsia="Times New Roman" w:hAnsi="Cambria"/>
          <w:sz w:val="23"/>
          <w:szCs w:val="23"/>
          <w:lang w:val="uk-UA" w:eastAsia="ru-RU"/>
        </w:rPr>
        <w:t>охорони водного басейну;</w:t>
      </w:r>
    </w:p>
    <w:p w:rsidR="00D74BEF" w:rsidRDefault="00D74BEF" w:rsidP="00D74BEF">
      <w:pPr>
        <w:numPr>
          <w:ilvl w:val="0"/>
          <w:numId w:val="2"/>
        </w:numPr>
        <w:ind w:left="0" w:firstLine="540"/>
        <w:jc w:val="both"/>
        <w:rPr>
          <w:rFonts w:ascii="Cambria" w:eastAsia="Times New Roman" w:hAnsi="Cambria"/>
          <w:sz w:val="23"/>
          <w:szCs w:val="23"/>
          <w:lang w:val="uk-UA" w:eastAsia="ru-RU"/>
        </w:rPr>
      </w:pPr>
      <w:r>
        <w:rPr>
          <w:rFonts w:ascii="Cambria" w:eastAsia="Times New Roman" w:hAnsi="Cambria"/>
          <w:sz w:val="23"/>
          <w:szCs w:val="23"/>
          <w:lang w:val="uk-UA" w:eastAsia="ru-RU"/>
        </w:rPr>
        <w:t>охорони ґрунтів;</w:t>
      </w:r>
    </w:p>
    <w:p w:rsidR="00D74BEF" w:rsidRDefault="00D74BEF" w:rsidP="00D74BEF">
      <w:pPr>
        <w:numPr>
          <w:ilvl w:val="0"/>
          <w:numId w:val="3"/>
        </w:numPr>
        <w:ind w:left="0" w:firstLine="540"/>
        <w:jc w:val="both"/>
        <w:rPr>
          <w:rFonts w:ascii="Cambria" w:eastAsia="Times New Roman" w:hAnsi="Cambria"/>
          <w:sz w:val="23"/>
          <w:szCs w:val="23"/>
          <w:lang w:val="uk-UA" w:eastAsia="ru-RU"/>
        </w:rPr>
      </w:pPr>
      <w:r>
        <w:rPr>
          <w:rFonts w:ascii="Cambria" w:eastAsia="Times New Roman" w:hAnsi="Cambria"/>
          <w:sz w:val="23"/>
          <w:szCs w:val="23"/>
          <w:lang w:val="uk-UA" w:eastAsia="ru-RU"/>
        </w:rPr>
        <w:t>впливу фізичних факторів на навколишнє середовище (шум та електромагнітне випромінювання);</w:t>
      </w:r>
    </w:p>
    <w:p w:rsidR="00D74BEF" w:rsidRDefault="00D74BEF" w:rsidP="00D74BEF">
      <w:pPr>
        <w:numPr>
          <w:ilvl w:val="0"/>
          <w:numId w:val="2"/>
        </w:numPr>
        <w:ind w:left="0" w:firstLine="540"/>
        <w:jc w:val="both"/>
        <w:rPr>
          <w:rFonts w:ascii="Cambria" w:eastAsia="Times New Roman" w:hAnsi="Cambria"/>
          <w:sz w:val="23"/>
          <w:szCs w:val="23"/>
          <w:lang w:val="uk-UA" w:eastAsia="ru-RU"/>
        </w:rPr>
      </w:pPr>
      <w:r>
        <w:rPr>
          <w:rFonts w:ascii="Cambria" w:eastAsia="Times New Roman" w:hAnsi="Cambria"/>
          <w:sz w:val="23"/>
          <w:szCs w:val="23"/>
          <w:lang w:val="uk-UA" w:eastAsia="ru-RU"/>
        </w:rPr>
        <w:lastRenderedPageBreak/>
        <w:t>дотримання ландшафтно-планувальних заходів.</w:t>
      </w:r>
    </w:p>
    <w:p w:rsidR="00D74BEF" w:rsidRDefault="00D74BEF" w:rsidP="00D74BEF">
      <w:pPr>
        <w:pStyle w:val="a4"/>
        <w:ind w:left="0" w:firstLine="709"/>
        <w:jc w:val="both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b/>
        </w:rPr>
        <w:t xml:space="preserve">Моніторинг виконання пропозицій документу державного планування </w:t>
      </w:r>
      <w:r>
        <w:rPr>
          <w:rFonts w:ascii="Cambria" w:hAnsi="Cambria"/>
        </w:rPr>
        <w:t>можливо здійснювати за показниками у тому числі, що приведені нормативними документами,  а саме:</w:t>
      </w:r>
    </w:p>
    <w:p w:rsidR="00D74BEF" w:rsidRDefault="00D74BEF" w:rsidP="00D74BEF">
      <w:pPr>
        <w:spacing w:before="120" w:after="120"/>
        <w:jc w:val="right"/>
        <w:rPr>
          <w:rFonts w:ascii="Cambria" w:eastAsia="Times New Roman" w:hAnsi="Cambria"/>
          <w:szCs w:val="24"/>
          <w:lang w:val="uk-UA" w:eastAsia="ru-RU"/>
        </w:rPr>
      </w:pPr>
      <w:r>
        <w:rPr>
          <w:rFonts w:ascii="Cambria" w:eastAsia="Times New Roman" w:hAnsi="Cambria"/>
          <w:b/>
          <w:szCs w:val="24"/>
          <w:lang w:val="uk-UA" w:eastAsia="ru-RU"/>
        </w:rPr>
        <w:t>Таблиця 9.1.</w:t>
      </w:r>
      <w:r>
        <w:rPr>
          <w:rFonts w:ascii="Cambria" w:hAnsi="Cambria"/>
          <w:b/>
          <w:sz w:val="22"/>
          <w:lang w:val="uk-UA"/>
        </w:rPr>
        <w:t xml:space="preserve"> </w:t>
      </w:r>
      <w:r>
        <w:rPr>
          <w:rFonts w:ascii="Cambria" w:eastAsia="Times New Roman" w:hAnsi="Cambria"/>
          <w:szCs w:val="24"/>
          <w:lang w:val="uk-UA" w:eastAsia="ru-RU"/>
        </w:rPr>
        <w:t xml:space="preserve">Моніторинг виконання </w:t>
      </w:r>
      <w:proofErr w:type="spellStart"/>
      <w:r>
        <w:rPr>
          <w:rFonts w:ascii="Cambria" w:eastAsia="Times New Roman" w:hAnsi="Cambria"/>
          <w:szCs w:val="24"/>
          <w:lang w:val="uk-UA" w:eastAsia="ru-RU"/>
        </w:rPr>
        <w:t>пропизицій</w:t>
      </w:r>
      <w:proofErr w:type="spellEnd"/>
      <w:r>
        <w:rPr>
          <w:rFonts w:ascii="Cambria" w:eastAsia="Times New Roman" w:hAnsi="Cambria"/>
          <w:szCs w:val="24"/>
          <w:lang w:val="uk-UA" w:eastAsia="ru-RU"/>
        </w:rPr>
        <w:t xml:space="preserve"> державного планування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257"/>
        <w:gridCol w:w="1477"/>
        <w:gridCol w:w="1599"/>
        <w:gridCol w:w="1650"/>
      </w:tblGrid>
      <w:tr w:rsidR="00D74BEF" w:rsidTr="00D74BEF">
        <w:trPr>
          <w:trHeight w:val="112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EF" w:rsidRDefault="00D74BEF">
            <w:pPr>
              <w:pStyle w:val="a4"/>
              <w:ind w:left="0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b/>
              </w:rPr>
            </w:pPr>
            <w:r>
              <w:rPr>
                <w:b/>
                <w:sz w:val="20"/>
                <w:szCs w:val="20"/>
              </w:rPr>
              <w:t>Цільові параметри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фактичні на момент затвердження</w:t>
            </w:r>
          </w:p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  <w:b/>
              </w:rPr>
            </w:pPr>
            <w:r>
              <w:rPr>
                <w:b/>
                <w:sz w:val="20"/>
                <w:szCs w:val="20"/>
              </w:rPr>
              <w:t>(01.01.2019р.)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Розрахунковий строк</w:t>
            </w:r>
          </w:p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  <w:b/>
              </w:rPr>
            </w:pPr>
            <w:r>
              <w:rPr>
                <w:b/>
                <w:sz w:val="20"/>
                <w:szCs w:val="20"/>
              </w:rPr>
              <w:t>(01.01.2039р.)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 xml:space="preserve">Показники </w:t>
            </w:r>
          </w:p>
          <w:p w:rsidR="00D74BEF" w:rsidRDefault="00D74BEF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результаті здійснення моніторингу*</w:t>
            </w:r>
          </w:p>
        </w:tc>
      </w:tr>
      <w:tr w:rsidR="00D74BEF" w:rsidTr="00D74BEF">
        <w:trPr>
          <w:trHeight w:val="33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spacing w:line="276" w:lineRule="auto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spacing w:line="276" w:lineRule="auto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відсоток (%) площі території природно-заповідного фонду (га) від площі території населеного пункту (га);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</w:p>
        </w:tc>
      </w:tr>
      <w:tr w:rsidR="00D74BEF" w:rsidTr="00D74BEF">
        <w:trPr>
          <w:trHeight w:val="71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площа територій зелених насаджень спеціального призначення (га)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34,25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35,53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</w:p>
        </w:tc>
      </w:tr>
      <w:tr w:rsidR="00D74BEF" w:rsidTr="00D74BEF">
        <w:trPr>
          <w:trHeight w:val="9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відсоток (%) площі озелененої території загального користування (га) від площі території населеного пункту (га)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>0,</w:t>
            </w:r>
            <w:r>
              <w:rPr>
                <w:rFonts w:ascii="Cambria" w:hAnsi="Cambria"/>
                <w:lang w:val="en-US"/>
              </w:rPr>
              <w:t>62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1,89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  <w:highlight w:val="cyan"/>
              </w:rPr>
            </w:pPr>
          </w:p>
        </w:tc>
      </w:tr>
      <w:tr w:rsidR="00D74BEF" w:rsidTr="00D74BEF">
        <w:trPr>
          <w:trHeight w:val="98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відсоток (%) площі рекреаційної території (га) від площі території населеного пункту (га)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0,87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  <w:highlight w:val="cyan"/>
              </w:rPr>
            </w:pPr>
          </w:p>
        </w:tc>
      </w:tr>
      <w:tr w:rsidR="00D74BEF" w:rsidTr="00D74BEF">
        <w:trPr>
          <w:trHeight w:val="33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ступінь дотримання нормативного показника озеленення на одну особу (м2/чол.)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11,53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36,1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  <w:highlight w:val="cyan"/>
              </w:rPr>
            </w:pPr>
          </w:p>
        </w:tc>
      </w:tr>
      <w:tr w:rsidR="00D74BEF" w:rsidTr="00D74BEF">
        <w:trPr>
          <w:trHeight w:val="31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  <w:highlight w:val="cyan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ступінь забезпечення централізованим водопостачанням із влаштуванням лічильників (садибна – забудова – % від загальної кількості будинків; багатоквартирна забудова  - % від загальної кількості будинків, громадська забудова – за списком наявності громадських будівель)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  <w:highlight w:val="cyan"/>
              </w:rPr>
            </w:pPr>
          </w:p>
        </w:tc>
      </w:tr>
      <w:tr w:rsidR="00D74BEF" w:rsidTr="00D74BEF">
        <w:trPr>
          <w:trHeight w:val="33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  <w:highlight w:val="cyan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ступінь забезпечення централізованою каналізацією (садибна – забудова – % від загальної кількості будинків; багатоквартирна забудова  - % від загальної кількості будинків, громадська забудова – за списком наявності громадських будівель)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  <w:highlight w:val="cyan"/>
              </w:rPr>
            </w:pPr>
          </w:p>
        </w:tc>
      </w:tr>
      <w:tr w:rsidR="00D74BEF" w:rsidTr="00D74BEF">
        <w:trPr>
          <w:trHeight w:val="42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обсяг водоспоживання, тис. м3/рік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919,1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1093,2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  <w:highlight w:val="cyan"/>
              </w:rPr>
            </w:pPr>
          </w:p>
        </w:tc>
      </w:tr>
      <w:tr w:rsidR="00D74BEF" w:rsidTr="00D74BEF">
        <w:trPr>
          <w:trHeight w:val="7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обсяг стічних вод господарсько-побутової каналізації, тис. м3/рік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382,2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1093,2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  <w:highlight w:val="cyan"/>
              </w:rPr>
            </w:pPr>
          </w:p>
        </w:tc>
      </w:tr>
      <w:tr w:rsidR="00D74BEF" w:rsidTr="00D74BEF">
        <w:trPr>
          <w:trHeight w:val="69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обсяг утворення побутових відходів, тис. тон/рік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4,5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5,29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  <w:highlight w:val="cyan"/>
              </w:rPr>
            </w:pPr>
          </w:p>
        </w:tc>
      </w:tr>
      <w:tr w:rsidR="00D74BEF" w:rsidTr="00D74BEF">
        <w:trPr>
          <w:trHeight w:val="33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>1</w:t>
            </w:r>
            <w:r>
              <w:rPr>
                <w:rFonts w:ascii="Cambria" w:hAnsi="Cambria"/>
                <w:lang w:val="en-US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забезпечення спорудами системи дощової каналізації, споруди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  <w:highlight w:val="cyan"/>
              </w:rPr>
            </w:pPr>
          </w:p>
        </w:tc>
      </w:tr>
      <w:tr w:rsidR="00D74BEF" w:rsidTr="00D74BEF">
        <w:trPr>
          <w:trHeight w:val="85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lastRenderedPageBreak/>
              <w:t>1</w:t>
            </w:r>
            <w:r>
              <w:rPr>
                <w:rFonts w:ascii="Cambria" w:hAnsi="Cambria"/>
                <w:lang w:val="en-US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розвиток вулично-дорожньої мережі (реконструкція дорожнього покриття – км/рік)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2,22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highlight w:val="cyan"/>
                <w:lang w:val="en-US"/>
              </w:rPr>
            </w:pPr>
            <w:r>
              <w:rPr>
                <w:rFonts w:ascii="Cambria" w:hAnsi="Cambria"/>
              </w:rPr>
              <w:t>2,</w:t>
            </w:r>
            <w:r>
              <w:rPr>
                <w:rFonts w:ascii="Cambria" w:hAnsi="Cambria"/>
                <w:lang w:val="en-US"/>
              </w:rPr>
              <w:t>82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  <w:highlight w:val="cyan"/>
              </w:rPr>
            </w:pPr>
          </w:p>
        </w:tc>
      </w:tr>
      <w:tr w:rsidR="00D74BEF" w:rsidTr="00D74BEF">
        <w:trPr>
          <w:trHeight w:val="33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>1</w:t>
            </w:r>
            <w:r>
              <w:rPr>
                <w:rFonts w:ascii="Cambria" w:hAnsi="Cambria"/>
                <w:lang w:val="en-US"/>
              </w:rPr>
              <w:t>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обсяг території щодо якої реалізовані заходи з інженерного захисту території, га/рік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EF" w:rsidRDefault="00D74BEF">
            <w:pPr>
              <w:pStyle w:val="a4"/>
              <w:ind w:left="0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8,6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EF" w:rsidRDefault="00D74BEF">
            <w:pPr>
              <w:pStyle w:val="a4"/>
              <w:ind w:left="0"/>
              <w:jc w:val="both"/>
              <w:rPr>
                <w:rFonts w:ascii="Cambria" w:hAnsi="Cambria"/>
              </w:rPr>
            </w:pPr>
          </w:p>
        </w:tc>
      </w:tr>
    </w:tbl>
    <w:p w:rsidR="00D74BEF" w:rsidRPr="00D74BEF" w:rsidRDefault="00D74BEF" w:rsidP="00D74BEF">
      <w:pPr>
        <w:pStyle w:val="a4"/>
        <w:spacing w:before="120" w:after="240" w:line="276" w:lineRule="auto"/>
        <w:ind w:left="0" w:firstLine="709"/>
        <w:jc w:val="both"/>
        <w:rPr>
          <w:rFonts w:ascii="Cambria" w:hAnsi="Cambria"/>
          <w:i/>
          <w:lang w:val="ru-RU" w:eastAsia="ru-RU"/>
        </w:rPr>
      </w:pPr>
      <w:r>
        <w:rPr>
          <w:rFonts w:ascii="Cambria" w:hAnsi="Cambria"/>
          <w:i/>
        </w:rPr>
        <w:t>*Заходи щодо поліпшення стану навколишнього природного середовища визначаються після результатів здійснення моніторингу.</w:t>
      </w:r>
    </w:p>
    <w:p w:rsidR="00D74BEF" w:rsidRPr="00D74BEF" w:rsidRDefault="00D74BEF" w:rsidP="00D74BEF">
      <w:pPr>
        <w:pStyle w:val="a4"/>
        <w:spacing w:before="120" w:after="240" w:line="276" w:lineRule="auto"/>
        <w:ind w:left="0" w:firstLine="709"/>
        <w:jc w:val="both"/>
        <w:rPr>
          <w:rFonts w:ascii="Cambria" w:hAnsi="Cambria"/>
          <w:i/>
          <w:sz w:val="20"/>
          <w:szCs w:val="20"/>
          <w:lang w:val="ru-RU"/>
        </w:rPr>
      </w:pPr>
    </w:p>
    <w:p w:rsidR="00D74BEF" w:rsidRDefault="00D74BEF" w:rsidP="00D74BEF">
      <w:pPr>
        <w:pStyle w:val="a4"/>
        <w:spacing w:before="120" w:after="240" w:line="276" w:lineRule="auto"/>
        <w:ind w:left="0" w:firstLine="709"/>
        <w:jc w:val="both"/>
        <w:rPr>
          <w:rFonts w:ascii="Cambria" w:hAnsi="Cambria"/>
        </w:rPr>
      </w:pPr>
      <w:r>
        <w:rPr>
          <w:rFonts w:ascii="Cambria" w:hAnsi="Cambria"/>
        </w:rPr>
        <w:t>Керуючись принципами місцевого самоврядування зобов’язати всіх суб’єктів господарювання в межах населеного пункту надавати інформацію для моніторингу виконання заходів реалізації пропозицій документу державного планування щодо:</w:t>
      </w:r>
    </w:p>
    <w:p w:rsidR="00D74BEF" w:rsidRDefault="00D74BEF" w:rsidP="00D74BEF">
      <w:pPr>
        <w:pStyle w:val="a4"/>
        <w:numPr>
          <w:ilvl w:val="0"/>
          <w:numId w:val="4"/>
        </w:numPr>
        <w:spacing w:line="276" w:lineRule="auto"/>
        <w:ind w:left="0" w:firstLine="567"/>
        <w:jc w:val="both"/>
        <w:rPr>
          <w:rFonts w:ascii="Cambria" w:hAnsi="Cambria"/>
        </w:rPr>
      </w:pPr>
      <w:r>
        <w:rPr>
          <w:rFonts w:ascii="Cambria" w:hAnsi="Cambria"/>
        </w:rPr>
        <w:t>охорони атмосферного повітря (обсяги викидів забруднюючих речовин в атмосферне повітря від стаціонарних і пересувних джерел, тон/рік; кількість проб стану атмосферного повітря середньодобових та максимальних разових концентрацій забруднюючих речовин у повітрі з перевищенням  відповідних ГДК, % від загальної кількості проб/день, проб/місяць, проб/рік);</w:t>
      </w:r>
    </w:p>
    <w:p w:rsidR="00D74BEF" w:rsidRDefault="00D74BEF" w:rsidP="00D74BEF">
      <w:pPr>
        <w:pStyle w:val="a4"/>
        <w:numPr>
          <w:ilvl w:val="0"/>
          <w:numId w:val="4"/>
        </w:numPr>
        <w:spacing w:line="276" w:lineRule="auto"/>
        <w:ind w:left="0" w:firstLine="567"/>
        <w:jc w:val="both"/>
        <w:rPr>
          <w:rFonts w:ascii="Cambria" w:hAnsi="Cambria"/>
        </w:rPr>
      </w:pPr>
      <w:r>
        <w:rPr>
          <w:rFonts w:ascii="Cambria" w:hAnsi="Cambria"/>
        </w:rPr>
        <w:t>охорони водного басейну (кількість проб якості питної води з централізованих джерел водопостачання, що не відповідають санітарним нормам, % від загальної кількості проб/день, проб/місяць, проб/день);</w:t>
      </w:r>
    </w:p>
    <w:p w:rsidR="00D74BEF" w:rsidRDefault="00D74BEF" w:rsidP="00D74BEF">
      <w:pPr>
        <w:pStyle w:val="a4"/>
        <w:numPr>
          <w:ilvl w:val="0"/>
          <w:numId w:val="4"/>
        </w:numPr>
        <w:spacing w:line="276" w:lineRule="auto"/>
        <w:ind w:left="0" w:firstLine="567"/>
        <w:jc w:val="both"/>
        <w:rPr>
          <w:rFonts w:ascii="Cambria" w:hAnsi="Cambria"/>
        </w:rPr>
      </w:pPr>
      <w:r>
        <w:rPr>
          <w:rFonts w:ascii="Cambria" w:hAnsi="Cambria"/>
        </w:rPr>
        <w:t>охорони ґрунтів (за хімічним та бактеріологічними показниками).</w:t>
      </w:r>
    </w:p>
    <w:p w:rsidR="00D74BEF" w:rsidRDefault="00D74BEF" w:rsidP="00D74BEF">
      <w:pPr>
        <w:pStyle w:val="a4"/>
        <w:spacing w:after="120" w:line="276" w:lineRule="auto"/>
        <w:ind w:left="0" w:firstLine="709"/>
        <w:jc w:val="both"/>
        <w:rPr>
          <w:rFonts w:ascii="Cambria" w:hAnsi="Cambria"/>
        </w:rPr>
      </w:pPr>
      <w:r>
        <w:rPr>
          <w:rFonts w:ascii="Cambria" w:hAnsi="Cambria"/>
        </w:rPr>
        <w:t>Здійснення моніторингу впливів на довкілля щодо реалізації пропозицій документу державного планування, у тому числі на здоров’я населення, за запропонованими показниками із введенням щорічної звітності, дасть можливість своєчасно виявляти порушення і недоліки, відхилення від нормативних показників та своєчасно опрацьовувати заходи та терміни по їх усуненню, складати звіти та інформувати мешканців населеного пункту про стан реалізації містобудівної документації.</w:t>
      </w:r>
    </w:p>
    <w:p w:rsidR="00D74BEF" w:rsidRDefault="00D74BEF" w:rsidP="00D74BEF">
      <w:pPr>
        <w:jc w:val="center"/>
        <w:rPr>
          <w:rFonts w:ascii="Cambria" w:eastAsia="Times New Roman" w:hAnsi="Cambria"/>
          <w:b/>
          <w:sz w:val="23"/>
          <w:szCs w:val="23"/>
          <w:u w:val="single"/>
          <w:lang w:val="uk-UA" w:eastAsia="ru-RU"/>
        </w:rPr>
      </w:pPr>
      <w:r>
        <w:rPr>
          <w:rFonts w:ascii="Cambria" w:eastAsia="Times New Roman" w:hAnsi="Cambria"/>
          <w:b/>
          <w:sz w:val="23"/>
          <w:szCs w:val="23"/>
          <w:u w:val="single"/>
          <w:lang w:val="uk-UA" w:eastAsia="ru-RU"/>
        </w:rPr>
        <w:t xml:space="preserve">Для юридичних і фізичних осіб, </w:t>
      </w:r>
    </w:p>
    <w:p w:rsidR="00D74BEF" w:rsidRDefault="00D74BEF" w:rsidP="00D74BEF">
      <w:pPr>
        <w:jc w:val="center"/>
        <w:rPr>
          <w:rFonts w:ascii="Cambria" w:eastAsia="Times New Roman" w:hAnsi="Cambria"/>
          <w:b/>
          <w:sz w:val="23"/>
          <w:szCs w:val="23"/>
          <w:u w:val="single"/>
          <w:lang w:val="uk-UA" w:eastAsia="ru-RU"/>
        </w:rPr>
      </w:pPr>
      <w:r>
        <w:rPr>
          <w:rFonts w:ascii="Cambria" w:eastAsia="Times New Roman" w:hAnsi="Cambria"/>
          <w:b/>
          <w:sz w:val="23"/>
          <w:szCs w:val="23"/>
          <w:u w:val="single"/>
          <w:lang w:val="uk-UA" w:eastAsia="ru-RU"/>
        </w:rPr>
        <w:t>що здійснюють свою діяльність на території населеного пункту</w:t>
      </w:r>
    </w:p>
    <w:p w:rsidR="00D74BEF" w:rsidRDefault="00D74BEF" w:rsidP="00D74BEF">
      <w:pPr>
        <w:pStyle w:val="a4"/>
        <w:numPr>
          <w:ilvl w:val="0"/>
          <w:numId w:val="3"/>
        </w:numPr>
        <w:spacing w:line="276" w:lineRule="auto"/>
        <w:ind w:left="0" w:firstLine="567"/>
        <w:jc w:val="both"/>
        <w:rPr>
          <w:rFonts w:ascii="Cambria" w:hAnsi="Cambria"/>
          <w:lang w:eastAsia="ru-RU"/>
        </w:rPr>
      </w:pPr>
      <w:r>
        <w:rPr>
          <w:rFonts w:ascii="Cambria" w:hAnsi="Cambria"/>
        </w:rPr>
        <w:t>проведення щорічного контролю якості повітря, об’єктів що здійснюють викиди,  на межі санітарно - захисної зони та найближчої житлової забудови (згідно нормативних показників).</w:t>
      </w:r>
    </w:p>
    <w:p w:rsidR="00D74BEF" w:rsidRDefault="00D74BEF" w:rsidP="00D74BEF">
      <w:pPr>
        <w:pStyle w:val="30"/>
        <w:shd w:val="clear" w:color="auto" w:fill="FFFFFF"/>
        <w:spacing w:line="276" w:lineRule="auto"/>
        <w:jc w:val="left"/>
        <w:rPr>
          <w:rFonts w:ascii="Cambria" w:hAnsi="Cambria"/>
          <w:b/>
          <w:sz w:val="23"/>
          <w:szCs w:val="23"/>
          <w:u w:val="single"/>
          <w:lang w:val="uk-UA"/>
        </w:rPr>
      </w:pPr>
      <w:r>
        <w:rPr>
          <w:rFonts w:ascii="Cambria" w:hAnsi="Cambria"/>
          <w:b/>
          <w:sz w:val="23"/>
          <w:szCs w:val="23"/>
          <w:lang w:val="uk-UA"/>
        </w:rPr>
        <w:t xml:space="preserve">            </w:t>
      </w:r>
      <w:r>
        <w:rPr>
          <w:rFonts w:ascii="Cambria" w:hAnsi="Cambria"/>
          <w:b/>
          <w:sz w:val="23"/>
          <w:szCs w:val="23"/>
          <w:u w:val="single"/>
          <w:lang w:val="uk-UA"/>
        </w:rPr>
        <w:t>Інформаційна взаємодія</w:t>
      </w:r>
    </w:p>
    <w:p w:rsidR="00D74BEF" w:rsidRDefault="00D74BEF" w:rsidP="00D74BEF">
      <w:pPr>
        <w:pStyle w:val="a4"/>
        <w:shd w:val="clear" w:color="auto" w:fill="FFFFFF"/>
        <w:spacing w:line="276" w:lineRule="auto"/>
        <w:ind w:left="0" w:firstLine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Суб`єктами ДСМД створені, або розробляються відомчі бази даних моніторингової інформації. Існуюча система інформаційної взаємодії відомчих підсистем моніторингу довкілля передбачає обмін інформацією на загальнодержавному та регіональному рівнях. Організаційна інтеграція суб`єктів моніторингу довкілля на всіх рівнях здійснюється </w:t>
      </w:r>
      <w:proofErr w:type="spellStart"/>
      <w:r>
        <w:rPr>
          <w:rFonts w:ascii="Cambria" w:hAnsi="Cambria"/>
        </w:rPr>
        <w:t>Мінприроди</w:t>
      </w:r>
      <w:proofErr w:type="spellEnd"/>
      <w:r>
        <w:rPr>
          <w:rFonts w:ascii="Cambria" w:hAnsi="Cambria"/>
        </w:rPr>
        <w:t xml:space="preserve"> та його територіальними органами.</w:t>
      </w:r>
    </w:p>
    <w:p w:rsidR="00D74BEF" w:rsidRDefault="00D74BEF" w:rsidP="00D74BEF">
      <w:pPr>
        <w:pStyle w:val="a4"/>
        <w:shd w:val="clear" w:color="auto" w:fill="FFFFFF"/>
        <w:spacing w:line="276" w:lineRule="auto"/>
        <w:ind w:left="0" w:firstLine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Для упорядкування процесу обміну інформацією за показниками та термінами надання екологічної інформації між </w:t>
      </w:r>
      <w:proofErr w:type="spellStart"/>
      <w:r>
        <w:rPr>
          <w:rFonts w:ascii="Cambria" w:hAnsi="Cambria"/>
        </w:rPr>
        <w:t>Мінприроди</w:t>
      </w:r>
      <w:proofErr w:type="spellEnd"/>
      <w:r>
        <w:rPr>
          <w:rFonts w:ascii="Cambria" w:hAnsi="Cambria"/>
        </w:rPr>
        <w:t xml:space="preserve"> та суб’єктами ДСМД  укладено двохсторонні угоди про співробітництво у сфері моніторингу навколишнього природного середовища, до яких розроблені відповідні регламенти обміну екологічною інформацією.</w:t>
      </w:r>
    </w:p>
    <w:p w:rsidR="00D74BEF" w:rsidRDefault="00D74BEF" w:rsidP="00D74BEF">
      <w:pPr>
        <w:pStyle w:val="a4"/>
        <w:shd w:val="clear" w:color="auto" w:fill="FFFFFF"/>
        <w:spacing w:line="276" w:lineRule="auto"/>
        <w:ind w:left="0" w:firstLine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Оперативна моніторингова інформація передається територіальними органами суб'єктів ДСМД до регіональних центрів моніторингу довкілля, або державних управлінь охорони навколишнього природного середовища в регіонах. Узагальнена аналітична </w:t>
      </w:r>
      <w:r>
        <w:rPr>
          <w:rFonts w:ascii="Cambria" w:hAnsi="Cambria"/>
        </w:rPr>
        <w:lastRenderedPageBreak/>
        <w:t xml:space="preserve">інформація надається міністерствами та відомствами-суб'єктами ДСМД </w:t>
      </w:r>
      <w:proofErr w:type="spellStart"/>
      <w:r>
        <w:rPr>
          <w:rFonts w:ascii="Cambria" w:hAnsi="Cambria"/>
        </w:rPr>
        <w:t>Мінприроди</w:t>
      </w:r>
      <w:proofErr w:type="spellEnd"/>
      <w:r>
        <w:rPr>
          <w:rFonts w:ascii="Cambria" w:hAnsi="Cambria"/>
        </w:rPr>
        <w:t xml:space="preserve">. Отримані дані передаються до </w:t>
      </w:r>
      <w:hyperlink r:id="rId6" w:history="1">
        <w:proofErr w:type="spellStart"/>
        <w:r>
          <w:rPr>
            <w:rStyle w:val="a5"/>
            <w:rFonts w:ascii="Cambria" w:hAnsi="Cambria"/>
            <w:color w:val="auto"/>
            <w:u w:val="none"/>
          </w:rPr>
          <w:t>Інформаційно</w:t>
        </w:r>
        <w:proofErr w:type="spellEnd"/>
        <w:r>
          <w:rPr>
            <w:rStyle w:val="a5"/>
            <w:rFonts w:ascii="Cambria" w:hAnsi="Cambria"/>
            <w:color w:val="auto"/>
            <w:u w:val="none"/>
          </w:rPr>
          <w:t xml:space="preserve"> - аналітичного центру </w:t>
        </w:r>
        <w:proofErr w:type="spellStart"/>
        <w:r>
          <w:rPr>
            <w:rStyle w:val="a5"/>
            <w:rFonts w:ascii="Cambria" w:hAnsi="Cambria"/>
            <w:color w:val="auto"/>
            <w:u w:val="none"/>
          </w:rPr>
          <w:t>Мінприроди</w:t>
        </w:r>
        <w:proofErr w:type="spellEnd"/>
        <w:r>
          <w:rPr>
            <w:rStyle w:val="a5"/>
            <w:rFonts w:ascii="Cambria" w:hAnsi="Cambria"/>
            <w:color w:val="auto"/>
            <w:u w:val="none"/>
          </w:rPr>
          <w:t xml:space="preserve"> та накопичується у банках екологічних даних</w:t>
        </w:r>
      </w:hyperlink>
      <w:r>
        <w:rPr>
          <w:rFonts w:ascii="Cambria" w:hAnsi="Cambria"/>
        </w:rPr>
        <w:t>. </w:t>
      </w:r>
    </w:p>
    <w:p w:rsidR="00D74BEF" w:rsidRDefault="00D74BEF" w:rsidP="00D74BEF">
      <w:pPr>
        <w:pStyle w:val="a4"/>
        <w:shd w:val="clear" w:color="auto" w:fill="FFFFFF"/>
        <w:spacing w:line="276" w:lineRule="auto"/>
        <w:ind w:left="0" w:firstLine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На основі отриманої щомісячної та щоквартальної інформації </w:t>
      </w:r>
      <w:proofErr w:type="spellStart"/>
      <w:r>
        <w:rPr>
          <w:rFonts w:ascii="Cambria" w:hAnsi="Cambria"/>
        </w:rPr>
        <w:t>Мінприроди</w:t>
      </w:r>
      <w:proofErr w:type="spellEnd"/>
      <w:r>
        <w:rPr>
          <w:rFonts w:ascii="Cambria" w:hAnsi="Cambria"/>
        </w:rPr>
        <w:t xml:space="preserve"> видається </w:t>
      </w:r>
      <w:proofErr w:type="spellStart"/>
      <w:r>
        <w:rPr>
          <w:rFonts w:ascii="Cambria" w:hAnsi="Cambria"/>
        </w:rPr>
        <w:t>інформаційно</w:t>
      </w:r>
      <w:proofErr w:type="spellEnd"/>
      <w:r>
        <w:rPr>
          <w:rFonts w:ascii="Cambria" w:hAnsi="Cambria"/>
        </w:rPr>
        <w:t xml:space="preserve"> – аналітичний огляд </w:t>
      </w:r>
      <w:proofErr w:type="spellStart"/>
      <w:r>
        <w:rPr>
          <w:rFonts w:ascii="Cambria" w:hAnsi="Cambria"/>
        </w:rPr>
        <w:t>„Стан</w:t>
      </w:r>
      <w:proofErr w:type="spellEnd"/>
      <w:r>
        <w:rPr>
          <w:rFonts w:ascii="Cambria" w:hAnsi="Cambria"/>
        </w:rPr>
        <w:t xml:space="preserve"> довкілля в України”, який розповсюджується серед заінтересованих користувачів. Функціонування Інформаційно-аналітичного центру </w:t>
      </w:r>
      <w:proofErr w:type="spellStart"/>
      <w:r>
        <w:rPr>
          <w:rFonts w:ascii="Cambria" w:hAnsi="Cambria"/>
        </w:rPr>
        <w:t>Мінприроди</w:t>
      </w:r>
      <w:proofErr w:type="spellEnd"/>
      <w:r>
        <w:rPr>
          <w:rFonts w:ascii="Cambria" w:hAnsi="Cambria"/>
        </w:rPr>
        <w:t xml:space="preserve"> забезпечує інформаційний обмін з регіональними центрами моніторингу довкілля, суб’єктами державної системи моніторингу довкілля, створення уніфікованого банку екологічних даних, проведення комплексного аналізу стану довкілля, тощо. </w:t>
      </w:r>
    </w:p>
    <w:p w:rsidR="00D74BEF" w:rsidRDefault="00D74BEF" w:rsidP="00D74BEF">
      <w:pPr>
        <w:pStyle w:val="a4"/>
        <w:shd w:val="clear" w:color="auto" w:fill="FFFFFF"/>
        <w:spacing w:line="276" w:lineRule="auto"/>
        <w:ind w:left="0" w:firstLine="709"/>
        <w:jc w:val="both"/>
        <w:rPr>
          <w:rFonts w:ascii="Cambria" w:hAnsi="Cambria"/>
        </w:rPr>
      </w:pPr>
      <w:r>
        <w:rPr>
          <w:rFonts w:ascii="Cambria" w:hAnsi="Cambria"/>
        </w:rPr>
        <w:t>Постановою Кабінету Міністрів України від 05.12.2007 № 1376 затверджено Державну цільову екологічну програму проведення моніторингу навколишнього природного середовища.</w:t>
      </w:r>
    </w:p>
    <w:p w:rsidR="00D74BEF" w:rsidRDefault="00D74BEF" w:rsidP="00D74BEF">
      <w:pPr>
        <w:pStyle w:val="a4"/>
        <w:shd w:val="clear" w:color="auto" w:fill="FFFFFF"/>
        <w:spacing w:line="276" w:lineRule="auto"/>
        <w:ind w:left="0" w:firstLine="709"/>
        <w:jc w:val="both"/>
        <w:rPr>
          <w:rFonts w:ascii="Cambria" w:hAnsi="Cambria"/>
        </w:rPr>
      </w:pPr>
      <w:r>
        <w:rPr>
          <w:rFonts w:ascii="Cambria" w:hAnsi="Cambria"/>
        </w:rPr>
        <w:t>Програма спрямована на поєднання зусиль усіх суб`єктів системи моніторингу щодо виключення дублювання та включення додаткових функцій з моніторингу, створення єдиної мережі спостережень після оптимізації її елементів та програм спостережень, вдосконалення технічного, методичного, метрологічного та наукового забезпечення функціонування єдиної мережі спостережень. З метою забезпечення інтеграції інформаційних ресурсів суб`єктів системи моніторингу довкілля передбачено створення та забезпечення функціонування єдиної автоматизованої підсистеми збору, оброблення, аналізу і збереження даних та інформації, отриманих в результаті здійснення моніторингу.</w:t>
      </w:r>
    </w:p>
    <w:p w:rsidR="00D74BEF" w:rsidRDefault="00D74BEF" w:rsidP="00D74BEF">
      <w:pPr>
        <w:pStyle w:val="a4"/>
        <w:shd w:val="clear" w:color="auto" w:fill="FFFFFF"/>
        <w:spacing w:line="276" w:lineRule="auto"/>
        <w:ind w:left="0" w:firstLine="709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В межах Державної цільової екологічної програми проведення моніторингу навколишнього природного середовища, у тому числі, передбачено розширення мережі автоматизованих постів спостережень за забрудненням атмосферного повітря в екологічно небезпечних населених пунктах.</w:t>
      </w:r>
    </w:p>
    <w:p w:rsidR="00DA396B" w:rsidRPr="00D74BEF" w:rsidRDefault="00DA396B">
      <w:pPr>
        <w:rPr>
          <w:lang w:val="uk-UA"/>
        </w:rPr>
      </w:pPr>
    </w:p>
    <w:sectPr w:rsidR="00DA396B" w:rsidRPr="00D7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EB8"/>
    <w:multiLevelType w:val="hybridMultilevel"/>
    <w:tmpl w:val="20DCE3A4"/>
    <w:lvl w:ilvl="0" w:tplc="884C5BAC">
      <w:start w:val="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DA77C8E"/>
    <w:multiLevelType w:val="multilevel"/>
    <w:tmpl w:val="6700D8AA"/>
    <w:lvl w:ilvl="0">
      <w:start w:val="1"/>
      <w:numFmt w:val="decimal"/>
      <w:pStyle w:val="1"/>
      <w:lvlText w:val="%1."/>
      <w:lvlJc w:val="left"/>
      <w:pPr>
        <w:ind w:left="390" w:hanging="390"/>
      </w:pPr>
    </w:lvl>
    <w:lvl w:ilvl="1">
      <w:start w:val="1"/>
      <w:numFmt w:val="decimal"/>
      <w:pStyle w:val="2"/>
      <w:lvlText w:val="%1.%2."/>
      <w:lvlJc w:val="left"/>
      <w:pPr>
        <w:ind w:left="861" w:hanging="720"/>
      </w:pPr>
    </w:lvl>
    <w:lvl w:ilvl="2">
      <w:start w:val="1"/>
      <w:numFmt w:val="decimal"/>
      <w:pStyle w:val="3"/>
      <w:lvlText w:val="%1.%2.%3."/>
      <w:lvlJc w:val="left"/>
      <w:pPr>
        <w:ind w:left="1440" w:hanging="72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1C21449E"/>
    <w:multiLevelType w:val="hybridMultilevel"/>
    <w:tmpl w:val="5C165066"/>
    <w:lvl w:ilvl="0" w:tplc="3B940950">
      <w:start w:val="2"/>
      <w:numFmt w:val="bullet"/>
      <w:lvlText w:val="-"/>
      <w:lvlJc w:val="left"/>
      <w:pPr>
        <w:ind w:left="1571" w:hanging="360"/>
      </w:pPr>
      <w:rPr>
        <w:rFonts w:ascii="Times New Roman CYR" w:eastAsia="Times New Roman" w:hAnsi="Times New Roman CYR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4DA7ABA"/>
    <w:multiLevelType w:val="hybridMultilevel"/>
    <w:tmpl w:val="FE1AD5D8"/>
    <w:lvl w:ilvl="0" w:tplc="3B940950">
      <w:start w:val="2"/>
      <w:numFmt w:val="bullet"/>
      <w:lvlText w:val="-"/>
      <w:lvlJc w:val="left"/>
      <w:pPr>
        <w:ind w:left="1571" w:hanging="360"/>
      </w:pPr>
      <w:rPr>
        <w:rFonts w:ascii="Times New Roman CYR" w:eastAsia="Times New Roman" w:hAnsi="Times New Roman CYR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F2"/>
    <w:rsid w:val="007651F2"/>
    <w:rsid w:val="00D74BEF"/>
    <w:rsid w:val="00DA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EF"/>
    <w:pPr>
      <w:spacing w:after="0"/>
    </w:pPr>
    <w:rPr>
      <w:rFonts w:ascii="Times New Roman" w:eastAsia="Calibri" w:hAnsi="Times New Roman" w:cs="Times New Roman"/>
      <w:sz w:val="24"/>
    </w:rPr>
  </w:style>
  <w:style w:type="paragraph" w:styleId="30">
    <w:name w:val="heading 3"/>
    <w:basedOn w:val="a"/>
    <w:next w:val="a"/>
    <w:link w:val="31"/>
    <w:semiHidden/>
    <w:unhideWhenUsed/>
    <w:qFormat/>
    <w:rsid w:val="00D74BEF"/>
    <w:pPr>
      <w:keepNext/>
      <w:suppressAutoHyphens/>
      <w:spacing w:line="240" w:lineRule="auto"/>
      <w:ind w:left="113" w:right="113"/>
      <w:jc w:val="center"/>
      <w:outlineLvl w:val="2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semiHidden/>
    <w:rsid w:val="00D74BE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Обычный (веб) Знак"/>
    <w:aliases w:val="Обычный (Web) Знак Знак"/>
    <w:link w:val="a4"/>
    <w:uiPriority w:val="99"/>
    <w:locked/>
    <w:rsid w:val="00D74BEF"/>
    <w:rPr>
      <w:rFonts w:ascii="Times New Roman" w:eastAsia="Times New Roman" w:hAnsi="Times New Roman" w:cs="Times New Roman"/>
      <w:color w:val="000000"/>
      <w:sz w:val="23"/>
      <w:szCs w:val="23"/>
      <w:lang w:val="uk-UA" w:eastAsia="uk-UA"/>
    </w:rPr>
  </w:style>
  <w:style w:type="paragraph" w:styleId="a4">
    <w:name w:val="Normal (Web)"/>
    <w:aliases w:val="Обычный (Web) Знак"/>
    <w:basedOn w:val="a"/>
    <w:link w:val="a3"/>
    <w:uiPriority w:val="99"/>
    <w:unhideWhenUsed/>
    <w:qFormat/>
    <w:rsid w:val="00D74BEF"/>
    <w:pPr>
      <w:spacing w:line="240" w:lineRule="auto"/>
      <w:ind w:left="720"/>
      <w:contextualSpacing/>
    </w:pPr>
    <w:rPr>
      <w:rFonts w:eastAsia="Times New Roman"/>
      <w:color w:val="000000"/>
      <w:sz w:val="23"/>
      <w:szCs w:val="23"/>
      <w:lang w:val="uk-UA" w:eastAsia="uk-UA"/>
    </w:rPr>
  </w:style>
  <w:style w:type="paragraph" w:customStyle="1" w:styleId="2">
    <w:name w:val="Рівень 2"/>
    <w:basedOn w:val="a"/>
    <w:uiPriority w:val="99"/>
    <w:qFormat/>
    <w:rsid w:val="00D74BEF"/>
    <w:pPr>
      <w:keepNext/>
      <w:numPr>
        <w:ilvl w:val="1"/>
        <w:numId w:val="1"/>
      </w:numPr>
      <w:tabs>
        <w:tab w:val="left" w:pos="900"/>
        <w:tab w:val="left" w:pos="1418"/>
      </w:tabs>
      <w:spacing w:before="240" w:after="240" w:line="240" w:lineRule="auto"/>
      <w:ind w:right="284"/>
      <w:jc w:val="both"/>
      <w:outlineLvl w:val="1"/>
    </w:pPr>
    <w:rPr>
      <w:rFonts w:eastAsia="Times New Roman"/>
      <w:b/>
      <w:sz w:val="26"/>
      <w:szCs w:val="26"/>
      <w:lang w:eastAsia="ru-RU"/>
    </w:rPr>
  </w:style>
  <w:style w:type="paragraph" w:customStyle="1" w:styleId="3">
    <w:name w:val="Рівень 3"/>
    <w:basedOn w:val="a"/>
    <w:uiPriority w:val="99"/>
    <w:qFormat/>
    <w:rsid w:val="00D74BEF"/>
    <w:pPr>
      <w:keepNext/>
      <w:numPr>
        <w:ilvl w:val="2"/>
        <w:numId w:val="1"/>
      </w:numPr>
      <w:tabs>
        <w:tab w:val="left" w:pos="900"/>
        <w:tab w:val="left" w:pos="1418"/>
      </w:tabs>
      <w:spacing w:before="240" w:after="240" w:line="240" w:lineRule="auto"/>
      <w:ind w:right="284"/>
      <w:jc w:val="both"/>
      <w:outlineLvl w:val="1"/>
    </w:pPr>
    <w:rPr>
      <w:rFonts w:eastAsia="Times New Roman"/>
      <w:b/>
      <w:sz w:val="26"/>
      <w:szCs w:val="26"/>
      <w:lang w:eastAsia="ru-RU"/>
    </w:rPr>
  </w:style>
  <w:style w:type="character" w:customStyle="1" w:styleId="10">
    <w:name w:val="Рівень 1_ Знак"/>
    <w:basedOn w:val="a0"/>
    <w:link w:val="1"/>
    <w:locked/>
    <w:rsid w:val="00D74BEF"/>
    <w:rPr>
      <w:rFonts w:ascii="Times New Roman" w:eastAsia="Times New Roman" w:hAnsi="Times New Roman" w:cs="Times New Roman"/>
      <w:b/>
      <w:sz w:val="26"/>
      <w:szCs w:val="26"/>
    </w:rPr>
  </w:style>
  <w:style w:type="paragraph" w:customStyle="1" w:styleId="1">
    <w:name w:val="Рівень 1_"/>
    <w:basedOn w:val="a"/>
    <w:link w:val="10"/>
    <w:qFormat/>
    <w:rsid w:val="00D74BEF"/>
    <w:pPr>
      <w:keepNext/>
      <w:numPr>
        <w:numId w:val="1"/>
      </w:numPr>
      <w:tabs>
        <w:tab w:val="left" w:pos="900"/>
        <w:tab w:val="left" w:pos="1418"/>
      </w:tabs>
      <w:spacing w:before="240" w:after="240" w:line="240" w:lineRule="auto"/>
      <w:ind w:right="284"/>
      <w:jc w:val="center"/>
      <w:outlineLvl w:val="1"/>
    </w:pPr>
    <w:rPr>
      <w:rFonts w:eastAsia="Times New Roman"/>
      <w:b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74B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EF"/>
    <w:pPr>
      <w:spacing w:after="0"/>
    </w:pPr>
    <w:rPr>
      <w:rFonts w:ascii="Times New Roman" w:eastAsia="Calibri" w:hAnsi="Times New Roman" w:cs="Times New Roman"/>
      <w:sz w:val="24"/>
    </w:rPr>
  </w:style>
  <w:style w:type="paragraph" w:styleId="30">
    <w:name w:val="heading 3"/>
    <w:basedOn w:val="a"/>
    <w:next w:val="a"/>
    <w:link w:val="31"/>
    <w:semiHidden/>
    <w:unhideWhenUsed/>
    <w:qFormat/>
    <w:rsid w:val="00D74BEF"/>
    <w:pPr>
      <w:keepNext/>
      <w:suppressAutoHyphens/>
      <w:spacing w:line="240" w:lineRule="auto"/>
      <w:ind w:left="113" w:right="113"/>
      <w:jc w:val="center"/>
      <w:outlineLvl w:val="2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semiHidden/>
    <w:rsid w:val="00D74BE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Обычный (веб) Знак"/>
    <w:aliases w:val="Обычный (Web) Знак Знак"/>
    <w:link w:val="a4"/>
    <w:uiPriority w:val="99"/>
    <w:locked/>
    <w:rsid w:val="00D74BEF"/>
    <w:rPr>
      <w:rFonts w:ascii="Times New Roman" w:eastAsia="Times New Roman" w:hAnsi="Times New Roman" w:cs="Times New Roman"/>
      <w:color w:val="000000"/>
      <w:sz w:val="23"/>
      <w:szCs w:val="23"/>
      <w:lang w:val="uk-UA" w:eastAsia="uk-UA"/>
    </w:rPr>
  </w:style>
  <w:style w:type="paragraph" w:styleId="a4">
    <w:name w:val="Normal (Web)"/>
    <w:aliases w:val="Обычный (Web) Знак"/>
    <w:basedOn w:val="a"/>
    <w:link w:val="a3"/>
    <w:uiPriority w:val="99"/>
    <w:unhideWhenUsed/>
    <w:qFormat/>
    <w:rsid w:val="00D74BEF"/>
    <w:pPr>
      <w:spacing w:line="240" w:lineRule="auto"/>
      <w:ind w:left="720"/>
      <w:contextualSpacing/>
    </w:pPr>
    <w:rPr>
      <w:rFonts w:eastAsia="Times New Roman"/>
      <w:color w:val="000000"/>
      <w:sz w:val="23"/>
      <w:szCs w:val="23"/>
      <w:lang w:val="uk-UA" w:eastAsia="uk-UA"/>
    </w:rPr>
  </w:style>
  <w:style w:type="paragraph" w:customStyle="1" w:styleId="2">
    <w:name w:val="Рівень 2"/>
    <w:basedOn w:val="a"/>
    <w:uiPriority w:val="99"/>
    <w:qFormat/>
    <w:rsid w:val="00D74BEF"/>
    <w:pPr>
      <w:keepNext/>
      <w:numPr>
        <w:ilvl w:val="1"/>
        <w:numId w:val="1"/>
      </w:numPr>
      <w:tabs>
        <w:tab w:val="left" w:pos="900"/>
        <w:tab w:val="left" w:pos="1418"/>
      </w:tabs>
      <w:spacing w:before="240" w:after="240" w:line="240" w:lineRule="auto"/>
      <w:ind w:right="284"/>
      <w:jc w:val="both"/>
      <w:outlineLvl w:val="1"/>
    </w:pPr>
    <w:rPr>
      <w:rFonts w:eastAsia="Times New Roman"/>
      <w:b/>
      <w:sz w:val="26"/>
      <w:szCs w:val="26"/>
      <w:lang w:eastAsia="ru-RU"/>
    </w:rPr>
  </w:style>
  <w:style w:type="paragraph" w:customStyle="1" w:styleId="3">
    <w:name w:val="Рівень 3"/>
    <w:basedOn w:val="a"/>
    <w:uiPriority w:val="99"/>
    <w:qFormat/>
    <w:rsid w:val="00D74BEF"/>
    <w:pPr>
      <w:keepNext/>
      <w:numPr>
        <w:ilvl w:val="2"/>
        <w:numId w:val="1"/>
      </w:numPr>
      <w:tabs>
        <w:tab w:val="left" w:pos="900"/>
        <w:tab w:val="left" w:pos="1418"/>
      </w:tabs>
      <w:spacing w:before="240" w:after="240" w:line="240" w:lineRule="auto"/>
      <w:ind w:right="284"/>
      <w:jc w:val="both"/>
      <w:outlineLvl w:val="1"/>
    </w:pPr>
    <w:rPr>
      <w:rFonts w:eastAsia="Times New Roman"/>
      <w:b/>
      <w:sz w:val="26"/>
      <w:szCs w:val="26"/>
      <w:lang w:eastAsia="ru-RU"/>
    </w:rPr>
  </w:style>
  <w:style w:type="character" w:customStyle="1" w:styleId="10">
    <w:name w:val="Рівень 1_ Знак"/>
    <w:basedOn w:val="a0"/>
    <w:link w:val="1"/>
    <w:locked/>
    <w:rsid w:val="00D74BEF"/>
    <w:rPr>
      <w:rFonts w:ascii="Times New Roman" w:eastAsia="Times New Roman" w:hAnsi="Times New Roman" w:cs="Times New Roman"/>
      <w:b/>
      <w:sz w:val="26"/>
      <w:szCs w:val="26"/>
    </w:rPr>
  </w:style>
  <w:style w:type="paragraph" w:customStyle="1" w:styleId="1">
    <w:name w:val="Рівень 1_"/>
    <w:basedOn w:val="a"/>
    <w:link w:val="10"/>
    <w:qFormat/>
    <w:rsid w:val="00D74BEF"/>
    <w:pPr>
      <w:keepNext/>
      <w:numPr>
        <w:numId w:val="1"/>
      </w:numPr>
      <w:tabs>
        <w:tab w:val="left" w:pos="900"/>
        <w:tab w:val="left" w:pos="1418"/>
      </w:tabs>
      <w:spacing w:before="240" w:after="240" w:line="240" w:lineRule="auto"/>
      <w:ind w:right="284"/>
      <w:jc w:val="center"/>
      <w:outlineLvl w:val="1"/>
    </w:pPr>
    <w:rPr>
      <w:rFonts w:eastAsia="Times New Roman"/>
      <w:b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74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bank.org.ua/Pages/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Л</dc:creator>
  <cp:keywords/>
  <dc:description/>
  <cp:lastModifiedBy>Катя Л</cp:lastModifiedBy>
  <cp:revision>2</cp:revision>
  <dcterms:created xsi:type="dcterms:W3CDTF">2020-09-07T14:44:00Z</dcterms:created>
  <dcterms:modified xsi:type="dcterms:W3CDTF">2020-09-07T14:44:00Z</dcterms:modified>
</cp:coreProperties>
</file>